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1D" w:rsidRPr="00387D1D" w:rsidRDefault="00387D1D" w:rsidP="00387D1D">
      <w:pPr>
        <w:rPr>
          <w:rFonts w:ascii="Arial" w:eastAsia="Times New Roman" w:hAnsi="Arial"/>
          <w:b/>
          <w:sz w:val="24"/>
          <w:szCs w:val="24"/>
        </w:rPr>
      </w:pPr>
      <w:r w:rsidRPr="00387D1D">
        <w:rPr>
          <w:rFonts w:ascii="Arial" w:eastAsia="Times New Roman" w:hAnsi="Arial"/>
          <w:b/>
          <w:sz w:val="24"/>
          <w:szCs w:val="24"/>
        </w:rPr>
        <w:t>Anexos</w:t>
      </w:r>
    </w:p>
    <w:p w:rsidR="00387D1D" w:rsidRPr="00387D1D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387D1D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b/>
          <w:sz w:val="24"/>
          <w:szCs w:val="24"/>
        </w:rPr>
      </w:pPr>
      <w:r w:rsidRPr="00387D1D">
        <w:rPr>
          <w:rFonts w:ascii="Arial" w:eastAsia="Times New Roman" w:hAnsi="Arial"/>
          <w:b/>
          <w:sz w:val="24"/>
          <w:szCs w:val="24"/>
        </w:rPr>
        <w:t>Tabla 1. Mecanis</w:t>
      </w:r>
      <w:r w:rsidRPr="00F60871">
        <w:rPr>
          <w:rFonts w:ascii="Arial" w:eastAsia="Times New Roman" w:hAnsi="Arial"/>
          <w:b/>
          <w:sz w:val="24"/>
          <w:szCs w:val="24"/>
        </w:rPr>
        <w:t>mo de daño por intoxicación con metales pesados en animales.</w:t>
      </w: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2940"/>
        <w:gridCol w:w="720"/>
        <w:gridCol w:w="2200"/>
      </w:tblGrid>
      <w:tr w:rsidR="00387D1D" w:rsidRPr="00F60871" w:rsidTr="00E22269">
        <w:trPr>
          <w:trHeight w:val="442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9"/>
                <w:sz w:val="24"/>
                <w:szCs w:val="24"/>
              </w:rPr>
              <w:t>CONTAMINANTE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9"/>
                <w:sz w:val="24"/>
                <w:szCs w:val="24"/>
              </w:rPr>
              <w:t>VÍA DE ENTRADA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2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MECANISMO DE DAÑO</w:t>
            </w:r>
          </w:p>
        </w:tc>
      </w:tr>
      <w:tr w:rsidR="00387D1D" w:rsidRPr="00F60871" w:rsidTr="00E22269">
        <w:trPr>
          <w:trHeight w:val="108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38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9"/>
                <w:sz w:val="24"/>
                <w:szCs w:val="24"/>
              </w:rPr>
              <w:t>Cadmio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9"/>
                <w:sz w:val="24"/>
                <w:szCs w:val="24"/>
              </w:rPr>
              <w:t>Gástrica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Apoptosis</w:t>
            </w:r>
          </w:p>
        </w:tc>
      </w:tr>
      <w:tr w:rsidR="00387D1D" w:rsidRPr="00F60871" w:rsidTr="00E22269">
        <w:trPr>
          <w:trHeight w:val="30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(Activación por vía</w:t>
            </w:r>
          </w:p>
        </w:tc>
      </w:tr>
      <w:tr w:rsidR="00387D1D" w:rsidRPr="00F60871" w:rsidTr="00E22269">
        <w:trPr>
          <w:trHeight w:val="30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de las Caspasas)</w:t>
            </w:r>
          </w:p>
        </w:tc>
      </w:tr>
      <w:tr w:rsidR="00387D1D" w:rsidRPr="00F60871" w:rsidTr="00E22269">
        <w:trPr>
          <w:trHeight w:val="30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Disminución de</w:t>
            </w:r>
          </w:p>
        </w:tc>
      </w:tr>
      <w:tr w:rsidR="00387D1D" w:rsidRPr="00F60871" w:rsidTr="00E22269">
        <w:trPr>
          <w:trHeight w:val="31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producción de NO.</w:t>
            </w:r>
          </w:p>
        </w:tc>
      </w:tr>
      <w:tr w:rsidR="00387D1D" w:rsidRPr="00F60871" w:rsidTr="00E22269">
        <w:trPr>
          <w:trHeight w:val="9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37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8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8"/>
                <w:sz w:val="24"/>
                <w:szCs w:val="24"/>
              </w:rPr>
              <w:t>Dióxido de Azufre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w w:val="99"/>
                <w:sz w:val="24"/>
                <w:szCs w:val="24"/>
              </w:rPr>
              <w:t>Gástrica/Respiratoria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Daño en ADN</w:t>
            </w:r>
          </w:p>
        </w:tc>
      </w:tr>
      <w:tr w:rsidR="00387D1D" w:rsidRPr="00F60871" w:rsidTr="00E22269">
        <w:trPr>
          <w:trHeight w:val="31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multiorgánico</w:t>
            </w:r>
          </w:p>
        </w:tc>
      </w:tr>
      <w:tr w:rsidR="00387D1D" w:rsidRPr="00F60871" w:rsidTr="00E22269">
        <w:trPr>
          <w:trHeight w:val="10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613"/>
        </w:trPr>
        <w:tc>
          <w:tcPr>
            <w:tcW w:w="29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NO; Óxido nítrico.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  <w:sectPr w:rsidR="00387D1D" w:rsidRPr="00F60871">
          <w:pgSz w:w="12240" w:h="15840"/>
          <w:pgMar w:top="1414" w:right="1700" w:bottom="1440" w:left="1700" w:header="0" w:footer="0" w:gutter="0"/>
          <w:cols w:space="0" w:equalWidth="0">
            <w:col w:w="8840"/>
          </w:cols>
          <w:docGrid w:linePitch="360"/>
        </w:sectPr>
      </w:pPr>
    </w:p>
    <w:p w:rsidR="00387D1D" w:rsidRPr="00F60871" w:rsidRDefault="00387D1D" w:rsidP="00387D1D">
      <w:pPr>
        <w:rPr>
          <w:rFonts w:ascii="Arial" w:eastAsia="Times New Roman" w:hAnsi="Arial"/>
          <w:b/>
          <w:sz w:val="24"/>
          <w:szCs w:val="24"/>
        </w:rPr>
      </w:pPr>
      <w:bookmarkStart w:id="0" w:name="page18"/>
      <w:bookmarkEnd w:id="0"/>
      <w:r w:rsidRPr="00F60871">
        <w:rPr>
          <w:rFonts w:ascii="Arial" w:eastAsia="Times New Roman" w:hAnsi="Arial"/>
          <w:b/>
          <w:sz w:val="24"/>
          <w:szCs w:val="24"/>
        </w:rPr>
        <w:lastRenderedPageBreak/>
        <w:t>Tabla 2. Mecanismo de daño por intoxicación con metales pesados en humanos.</w:t>
      </w: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3240"/>
        <w:gridCol w:w="680"/>
        <w:gridCol w:w="2180"/>
      </w:tblGrid>
      <w:tr w:rsidR="00387D1D" w:rsidRPr="00F60871" w:rsidTr="00E22269">
        <w:trPr>
          <w:trHeight w:val="386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b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b/>
                <w:w w:val="99"/>
                <w:sz w:val="24"/>
                <w:szCs w:val="24"/>
              </w:rPr>
              <w:t>CONTAMINANTE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b/>
                <w:w w:val="99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b/>
                <w:w w:val="99"/>
                <w:sz w:val="24"/>
                <w:szCs w:val="24"/>
              </w:rPr>
              <w:t>VIA DE ENTRADA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60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b/>
                <w:sz w:val="24"/>
                <w:szCs w:val="24"/>
              </w:rPr>
              <w:t>MECANISMO DE DAÑO</w:t>
            </w:r>
          </w:p>
        </w:tc>
      </w:tr>
      <w:tr w:rsidR="00387D1D" w:rsidRPr="00F60871" w:rsidTr="00E22269">
        <w:trPr>
          <w:trHeight w:val="10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28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Cadmio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Gástrica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Disfunción por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formación de</w:t>
            </w:r>
          </w:p>
        </w:tc>
      </w:tr>
      <w:tr w:rsidR="00387D1D" w:rsidRPr="00F60871" w:rsidTr="00E22269">
        <w:trPr>
          <w:trHeight w:val="2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radicales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libres.</w:t>
            </w:r>
          </w:p>
        </w:tc>
      </w:tr>
      <w:tr w:rsidR="00387D1D" w:rsidRPr="00F60871" w:rsidTr="00E22269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Apoptosis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(Activación por vía</w:t>
            </w:r>
          </w:p>
        </w:tc>
      </w:tr>
      <w:tr w:rsidR="00387D1D" w:rsidRPr="00F60871" w:rsidTr="00E22269">
        <w:trPr>
          <w:trHeight w:val="2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de las Caspasas)</w:t>
            </w:r>
          </w:p>
        </w:tc>
      </w:tr>
      <w:tr w:rsidR="00387D1D" w:rsidRPr="00F60871" w:rsidTr="00E22269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Desnaturalización</w:t>
            </w:r>
          </w:p>
        </w:tc>
      </w:tr>
      <w:tr w:rsidR="00387D1D" w:rsidRPr="00F60871" w:rsidTr="00E22269">
        <w:trPr>
          <w:trHeight w:val="2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proteica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387D1D" w:rsidRPr="00F60871" w:rsidTr="00E22269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Disminución de la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resistencia</w:t>
            </w:r>
          </w:p>
        </w:tc>
      </w:tr>
      <w:tr w:rsidR="00387D1D" w:rsidRPr="00F60871" w:rsidTr="00E22269">
        <w:trPr>
          <w:trHeight w:val="2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transepitelial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387D1D" w:rsidRPr="00F60871" w:rsidTr="00E22269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Formación de</w:t>
            </w:r>
          </w:p>
        </w:tc>
      </w:tr>
      <w:tr w:rsidR="00387D1D" w:rsidRPr="00F60871" w:rsidTr="00E22269">
        <w:trPr>
          <w:trHeight w:val="2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anticuerpos Anti-MT</w:t>
            </w:r>
          </w:p>
        </w:tc>
      </w:tr>
      <w:tr w:rsidR="00387D1D" w:rsidRPr="00F60871" w:rsidTr="00E22269">
        <w:trPr>
          <w:trHeight w:val="9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2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Plomo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8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Gástrica/Respiratoria/Contacto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w w:val="99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w w:val="99"/>
                <w:sz w:val="24"/>
                <w:szCs w:val="24"/>
              </w:rPr>
              <w:t>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Almacenamiento en</w:t>
            </w:r>
          </w:p>
        </w:tc>
      </w:tr>
      <w:tr w:rsidR="00387D1D" w:rsidRPr="00F60871" w:rsidTr="00E22269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w w:val="99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w w:val="99"/>
                <w:sz w:val="24"/>
                <w:szCs w:val="24"/>
              </w:rPr>
              <w:t>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hueso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387D1D" w:rsidRPr="00F60871" w:rsidTr="00E2226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Daño mitocondrial y</w:t>
            </w:r>
          </w:p>
        </w:tc>
      </w:tr>
      <w:tr w:rsidR="00387D1D" w:rsidRPr="00F60871" w:rsidTr="00E22269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formación de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w w:val="99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w w:val="99"/>
                <w:sz w:val="24"/>
                <w:szCs w:val="24"/>
              </w:rPr>
              <w:t>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radicales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libres.</w:t>
            </w:r>
          </w:p>
        </w:tc>
      </w:tr>
      <w:tr w:rsidR="00387D1D" w:rsidRPr="00F60871" w:rsidTr="00E2226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Apoptosis</w:t>
            </w:r>
          </w:p>
        </w:tc>
      </w:tr>
      <w:tr w:rsidR="00387D1D" w:rsidRPr="00F60871" w:rsidTr="00E22269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(Activación por vía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w w:val="99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w w:val="99"/>
                <w:sz w:val="24"/>
                <w:szCs w:val="24"/>
              </w:rPr>
              <w:t>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de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las Caspasas).</w:t>
            </w:r>
          </w:p>
        </w:tc>
      </w:tr>
      <w:tr w:rsidR="00387D1D" w:rsidRPr="00F60871" w:rsidTr="00E2226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Inflamación por</w:t>
            </w:r>
          </w:p>
        </w:tc>
      </w:tr>
      <w:tr w:rsidR="00387D1D" w:rsidRPr="00F60871" w:rsidTr="00E22269">
        <w:trPr>
          <w:trHeight w:val="23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activación del FN-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Kappa-B, SRAA y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atracción de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MS PGothic" w:hAnsi="Arial"/>
                <w:w w:val="99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w w:val="99"/>
                <w:sz w:val="24"/>
                <w:szCs w:val="24"/>
              </w:rPr>
              <w:t>✓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Macrófagos.</w:t>
            </w:r>
          </w:p>
        </w:tc>
      </w:tr>
      <w:tr w:rsidR="00387D1D" w:rsidRPr="00F60871" w:rsidTr="00E22269">
        <w:trPr>
          <w:trHeight w:val="24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Disminución de</w:t>
            </w:r>
          </w:p>
        </w:tc>
      </w:tr>
      <w:tr w:rsidR="00387D1D" w:rsidRPr="00F60871" w:rsidTr="00E22269">
        <w:trPr>
          <w:trHeight w:val="2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producción de NO.</w:t>
            </w:r>
          </w:p>
        </w:tc>
      </w:tr>
      <w:tr w:rsidR="00387D1D" w:rsidRPr="00F60871" w:rsidTr="00E22269">
        <w:trPr>
          <w:trHeight w:val="10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2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Arsénico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8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Gástrica/Respiratoria/Contacto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Depleción de GSH.</w:t>
            </w:r>
          </w:p>
        </w:tc>
      </w:tr>
      <w:tr w:rsidR="00387D1D" w:rsidRPr="00F60871" w:rsidTr="00E22269">
        <w:trPr>
          <w:trHeight w:val="24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Formación de</w:t>
            </w:r>
          </w:p>
        </w:tc>
      </w:tr>
      <w:tr w:rsidR="00387D1D" w:rsidRPr="00F60871" w:rsidTr="00E22269">
        <w:trPr>
          <w:trHeight w:val="221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radicales libres</w:t>
            </w:r>
          </w:p>
        </w:tc>
      </w:tr>
      <w:tr w:rsidR="00387D1D" w:rsidRPr="00F60871" w:rsidTr="00E22269">
        <w:trPr>
          <w:trHeight w:val="25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Apoptosis</w:t>
            </w:r>
          </w:p>
        </w:tc>
      </w:tr>
      <w:tr w:rsidR="00387D1D" w:rsidRPr="00F60871" w:rsidTr="00E22269">
        <w:trPr>
          <w:trHeight w:val="24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(Activación por vía</w:t>
            </w:r>
          </w:p>
        </w:tc>
      </w:tr>
      <w:tr w:rsidR="00387D1D" w:rsidRPr="00F60871" w:rsidTr="00E22269">
        <w:trPr>
          <w:trHeight w:val="2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de las Caspasas)</w:t>
            </w:r>
          </w:p>
        </w:tc>
      </w:tr>
      <w:tr w:rsidR="00387D1D" w:rsidRPr="00F60871" w:rsidTr="00E22269">
        <w:trPr>
          <w:trHeight w:val="97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387D1D" w:rsidRPr="00F60871" w:rsidTr="00E22269">
        <w:trPr>
          <w:trHeight w:val="279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Mercurio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8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Gástrica/Respiratoria/Contacto</w:t>
            </w: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Daño por reacción</w:t>
            </w:r>
          </w:p>
        </w:tc>
      </w:tr>
      <w:tr w:rsidR="00387D1D" w:rsidRPr="00F60871" w:rsidTr="00E22269">
        <w:trPr>
          <w:trHeight w:val="23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Arial" w:eastAsia="Times New Roman" w:hAnsi="Arial"/>
                <w:sz w:val="24"/>
                <w:szCs w:val="24"/>
              </w:rPr>
              <w:t>antígeno-anticuerpo</w:t>
            </w:r>
          </w:p>
        </w:tc>
      </w:tr>
      <w:tr w:rsidR="00387D1D" w:rsidRPr="00F60871" w:rsidTr="00E22269">
        <w:trPr>
          <w:trHeight w:val="228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especifica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387D1D" w:rsidRPr="00F60871" w:rsidTr="00E22269">
        <w:trPr>
          <w:trHeight w:val="255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440"/>
              <w:rPr>
                <w:rFonts w:ascii="Arial" w:eastAsia="Times New Roman" w:hAnsi="Arial"/>
                <w:sz w:val="24"/>
                <w:szCs w:val="24"/>
              </w:rPr>
            </w:pPr>
            <w:r w:rsidRPr="00F60871">
              <w:rPr>
                <w:rFonts w:ascii="Segoe UI Symbol" w:eastAsia="MS PGothic" w:hAnsi="Segoe UI Symbol" w:cs="Segoe UI Symbol"/>
                <w:sz w:val="24"/>
                <w:szCs w:val="24"/>
              </w:rPr>
              <w:t>✓</w:t>
            </w:r>
            <w:r w:rsidRPr="00F60871">
              <w:rPr>
                <w:rFonts w:ascii="Arial" w:eastAsia="Times New Roman" w:hAnsi="Arial"/>
                <w:sz w:val="24"/>
                <w:szCs w:val="24"/>
              </w:rPr>
              <w:t xml:space="preserve"> Depleción de función</w:t>
            </w:r>
          </w:p>
        </w:tc>
      </w:tr>
      <w:tr w:rsidR="00387D1D" w:rsidRPr="00F60871" w:rsidTr="00E22269">
        <w:trPr>
          <w:trHeight w:val="287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ind w:left="100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 w:rsidRPr="00F60871">
              <w:rPr>
                <w:rFonts w:ascii="Arial" w:eastAsia="Times New Roman" w:hAnsi="Arial"/>
                <w:sz w:val="24"/>
                <w:szCs w:val="24"/>
              </w:rPr>
              <w:t>linfocitaria</w:t>
            </w:r>
            <w:proofErr w:type="gramEnd"/>
            <w:r w:rsidRPr="00F60871">
              <w:rPr>
                <w:rFonts w:ascii="Arial" w:eastAsia="Times New Roman" w:hAnsi="Arial"/>
                <w:sz w:val="24"/>
                <w:szCs w:val="24"/>
              </w:rPr>
              <w:t>.</w:t>
            </w:r>
          </w:p>
        </w:tc>
      </w:tr>
      <w:tr w:rsidR="00387D1D" w:rsidRPr="00F60871" w:rsidTr="00E22269">
        <w:trPr>
          <w:trHeight w:val="105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D1D" w:rsidRPr="00F60871" w:rsidRDefault="00387D1D" w:rsidP="00E2226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  <w:sectPr w:rsidR="00387D1D" w:rsidRPr="00F60871">
          <w:pgSz w:w="12240" w:h="15840"/>
          <w:pgMar w:top="1414" w:right="1700" w:bottom="1440" w:left="1700" w:header="0" w:footer="0" w:gutter="0"/>
          <w:cols w:space="0" w:equalWidth="0">
            <w:col w:w="8840"/>
          </w:cols>
          <w:docGrid w:linePitch="360"/>
        </w:sect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  <w:bookmarkStart w:id="1" w:name="_GoBack"/>
      <w:r w:rsidRPr="00F60871">
        <w:rPr>
          <w:rFonts w:ascii="Arial" w:eastAsia="Times New Roman" w:hAnsi="Arial"/>
          <w:sz w:val="24"/>
          <w:szCs w:val="24"/>
          <w:lang w:val="en-US"/>
        </w:rPr>
        <w:t>Anti-MT; Anti-</w:t>
      </w:r>
      <w:proofErr w:type="spellStart"/>
      <w:r w:rsidRPr="00F60871">
        <w:rPr>
          <w:rFonts w:ascii="Arial" w:eastAsia="Times New Roman" w:hAnsi="Arial"/>
          <w:sz w:val="24"/>
          <w:szCs w:val="24"/>
          <w:lang w:val="en-US"/>
        </w:rPr>
        <w:t>metalotioneina</w:t>
      </w:r>
      <w:proofErr w:type="spellEnd"/>
      <w:r w:rsidRPr="00F60871">
        <w:rPr>
          <w:rFonts w:ascii="Arial" w:eastAsia="Times New Roman" w:hAnsi="Arial"/>
          <w:sz w:val="24"/>
          <w:szCs w:val="24"/>
          <w:lang w:val="en-US"/>
        </w:rPr>
        <w:t xml:space="preserve">. FN-Kappa-B; Factor Nuclear- Kappa/Beta. </w:t>
      </w:r>
      <w:r w:rsidRPr="00F60871">
        <w:rPr>
          <w:rFonts w:ascii="Arial" w:eastAsia="Times New Roman" w:hAnsi="Arial"/>
          <w:sz w:val="24"/>
          <w:szCs w:val="24"/>
        </w:rPr>
        <w:t>SRAA; Sistema renina-angiotensina-aldosterona. NO; Óxido nítrico. GSH; Glutatión.</w:t>
      </w: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  <w:sectPr w:rsidR="00387D1D" w:rsidRPr="00F60871">
          <w:type w:val="continuous"/>
          <w:pgSz w:w="12240" w:h="15840"/>
          <w:pgMar w:top="1414" w:right="1800" w:bottom="1440" w:left="1700" w:header="0" w:footer="0" w:gutter="0"/>
          <w:cols w:space="0" w:equalWidth="0">
            <w:col w:w="8740"/>
          </w:cols>
          <w:docGrid w:linePitch="360"/>
        </w:sectPr>
      </w:pPr>
    </w:p>
    <w:p w:rsidR="00387D1D" w:rsidRPr="00F60871" w:rsidRDefault="00387D1D" w:rsidP="00387D1D">
      <w:pPr>
        <w:rPr>
          <w:rFonts w:ascii="Arial" w:eastAsia="Times New Roman" w:hAnsi="Arial"/>
          <w:b/>
          <w:sz w:val="24"/>
          <w:szCs w:val="24"/>
        </w:rPr>
      </w:pPr>
      <w:bookmarkStart w:id="2" w:name="page19"/>
      <w:bookmarkEnd w:id="2"/>
      <w:bookmarkEnd w:id="1"/>
      <w:r w:rsidRPr="00F60871">
        <w:rPr>
          <w:rFonts w:ascii="Arial" w:eastAsia="Times New Roman" w:hAnsi="Arial"/>
          <w:b/>
          <w:sz w:val="24"/>
          <w:szCs w:val="24"/>
        </w:rPr>
        <w:lastRenderedPageBreak/>
        <w:t>Figura 1. Fisiopatología y mecanismo de daño renal del Cadmio.</w:t>
      </w:r>
    </w:p>
    <w:p w:rsidR="00387D1D" w:rsidRPr="00F60871" w:rsidRDefault="00387D1D" w:rsidP="00387D1D">
      <w:pPr>
        <w:rPr>
          <w:rFonts w:ascii="Arial" w:eastAsia="Times New Roman" w:hAnsi="Arial"/>
          <w:b/>
          <w:sz w:val="24"/>
          <w:szCs w:val="24"/>
        </w:rPr>
        <w:sectPr w:rsidR="00387D1D" w:rsidRPr="00F60871">
          <w:pgSz w:w="12240" w:h="15840"/>
          <w:pgMar w:top="1414" w:right="3960" w:bottom="1440" w:left="1700" w:header="0" w:footer="0" w:gutter="0"/>
          <w:cols w:space="0" w:equalWidth="0">
            <w:col w:w="6580"/>
          </w:cols>
          <w:docGrid w:linePitch="360"/>
        </w:sectPr>
      </w:pPr>
      <w:r w:rsidRPr="00F60871">
        <w:rPr>
          <w:rFonts w:ascii="Arial" w:eastAsia="Times New Roman" w:hAnsi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137050</wp:posOffset>
            </wp:positionH>
            <wp:positionV relativeFrom="paragraph">
              <wp:posOffset>405462</wp:posOffset>
            </wp:positionV>
            <wp:extent cx="3284476" cy="3633746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782" cy="364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1D" w:rsidRPr="00F60871" w:rsidRDefault="00387D1D" w:rsidP="00387D1D">
      <w:pPr>
        <w:rPr>
          <w:rFonts w:ascii="Arial" w:eastAsia="Times New Roman" w:hAnsi="Arial"/>
          <w:b/>
          <w:sz w:val="24"/>
          <w:szCs w:val="24"/>
        </w:rPr>
      </w:pPr>
      <w:bookmarkStart w:id="3" w:name="page20"/>
      <w:bookmarkEnd w:id="3"/>
      <w:r w:rsidRPr="00F60871">
        <w:rPr>
          <w:rFonts w:ascii="Arial" w:eastAsia="Times New Roman" w:hAnsi="Arial"/>
          <w:b/>
          <w:sz w:val="24"/>
          <w:szCs w:val="24"/>
        </w:rPr>
        <w:lastRenderedPageBreak/>
        <w:t>Figura 2. Fisiopatología y mecanismo de daño renal del Arsénico.</w:t>
      </w: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  <w:r w:rsidRPr="00F60871">
        <w:rPr>
          <w:rFonts w:ascii="Arial" w:eastAsia="Times New Roman" w:hAnsi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713105</wp:posOffset>
            </wp:positionH>
            <wp:positionV relativeFrom="paragraph">
              <wp:posOffset>389255</wp:posOffset>
            </wp:positionV>
            <wp:extent cx="3883025" cy="4963795"/>
            <wp:effectExtent l="0" t="0" r="317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496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</w:pPr>
    </w:p>
    <w:p w:rsidR="00387D1D" w:rsidRPr="00F60871" w:rsidRDefault="00387D1D" w:rsidP="00387D1D">
      <w:pPr>
        <w:rPr>
          <w:rFonts w:ascii="Arial" w:eastAsia="Times New Roman" w:hAnsi="Arial"/>
          <w:sz w:val="24"/>
          <w:szCs w:val="24"/>
        </w:rPr>
        <w:sectPr w:rsidR="00387D1D" w:rsidRPr="00F60871">
          <w:pgSz w:w="12240" w:h="15840"/>
          <w:pgMar w:top="1414" w:right="3100" w:bottom="1440" w:left="1700" w:header="0" w:footer="0" w:gutter="0"/>
          <w:cols w:space="0" w:equalWidth="0">
            <w:col w:w="7440"/>
          </w:cols>
          <w:docGrid w:linePitch="360"/>
        </w:sectPr>
      </w:pPr>
      <w:r w:rsidRPr="00F60871">
        <w:rPr>
          <w:rFonts w:ascii="Arial" w:eastAsia="Times New Roman" w:hAnsi="Arial"/>
          <w:sz w:val="24"/>
          <w:szCs w:val="24"/>
        </w:rPr>
        <w:t xml:space="preserve">GSH; Glutatión. MTP-1; </w:t>
      </w:r>
      <w:proofErr w:type="spellStart"/>
      <w:r w:rsidRPr="00F60871">
        <w:rPr>
          <w:rFonts w:ascii="Arial" w:eastAsia="Times New Roman" w:hAnsi="Arial"/>
          <w:sz w:val="24"/>
          <w:szCs w:val="24"/>
        </w:rPr>
        <w:t>Metalotioneina</w:t>
      </w:r>
      <w:proofErr w:type="gramStart"/>
      <w:r w:rsidRPr="00F60871">
        <w:rPr>
          <w:rFonts w:ascii="Arial" w:eastAsia="Times New Roman" w:hAnsi="Arial"/>
          <w:sz w:val="24"/>
          <w:szCs w:val="24"/>
        </w:rPr>
        <w:t>,TC</w:t>
      </w:r>
      <w:r>
        <w:rPr>
          <w:rFonts w:ascii="Arial" w:eastAsia="Times New Roman" w:hAnsi="Arial"/>
          <w:sz w:val="24"/>
          <w:szCs w:val="24"/>
        </w:rPr>
        <w:t>P</w:t>
      </w:r>
      <w:proofErr w:type="spellEnd"/>
      <w:proofErr w:type="gramEnd"/>
      <w:r>
        <w:rPr>
          <w:rFonts w:ascii="Arial" w:eastAsia="Times New Roman" w:hAnsi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/>
          <w:sz w:val="24"/>
          <w:szCs w:val="24"/>
        </w:rPr>
        <w:t>Tubulo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contorneado proximal.</w:t>
      </w:r>
    </w:p>
    <w:p w:rsidR="00387D1D" w:rsidRPr="00387D1D" w:rsidRDefault="00387D1D" w:rsidP="00387D1D">
      <w:pPr>
        <w:rPr>
          <w:rFonts w:ascii="Arial" w:eastAsia="Times New Roman" w:hAnsi="Arial"/>
          <w:sz w:val="24"/>
          <w:szCs w:val="24"/>
        </w:rPr>
        <w:sectPr w:rsidR="00387D1D" w:rsidRPr="00387D1D">
          <w:type w:val="continuous"/>
          <w:pgSz w:w="12240" w:h="15840"/>
          <w:pgMar w:top="1415" w:right="5580" w:bottom="1440" w:left="2680" w:header="0" w:footer="0" w:gutter="0"/>
          <w:cols w:space="0" w:equalWidth="0">
            <w:col w:w="3980"/>
          </w:cols>
          <w:docGrid w:linePitch="360"/>
        </w:sectPr>
      </w:pPr>
      <w:bookmarkStart w:id="4" w:name="page21"/>
      <w:bookmarkStart w:id="5" w:name="page23"/>
      <w:bookmarkEnd w:id="4"/>
      <w:bookmarkEnd w:id="5"/>
    </w:p>
    <w:p w:rsidR="005311E0" w:rsidRDefault="00387D1D"/>
    <w:sectPr w:rsidR="00531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1D"/>
    <w:rsid w:val="001A1A01"/>
    <w:rsid w:val="00387D1D"/>
    <w:rsid w:val="00C1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7B1B2-1655-49CB-83CF-FE0637F6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1D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Digital 13</dc:creator>
  <cp:keywords/>
  <dc:description/>
  <cp:lastModifiedBy>Biblioteca Digital 13</cp:lastModifiedBy>
  <cp:revision>2</cp:revision>
  <dcterms:created xsi:type="dcterms:W3CDTF">2017-01-17T22:31:00Z</dcterms:created>
  <dcterms:modified xsi:type="dcterms:W3CDTF">2017-01-17T22:55:00Z</dcterms:modified>
</cp:coreProperties>
</file>