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12" w:rsidRPr="00BF68DD" w:rsidRDefault="001E5512" w:rsidP="00BF68DD">
      <w:pPr>
        <w:spacing w:line="480" w:lineRule="auto"/>
        <w:rPr>
          <w:rFonts w:ascii="Arial" w:hAnsi="Arial" w:cs="Arial"/>
          <w:bCs/>
        </w:rPr>
      </w:pPr>
      <w:r w:rsidRPr="00BF68DD">
        <w:rPr>
          <w:rFonts w:ascii="Arial" w:hAnsi="Arial" w:cs="Arial"/>
          <w:b/>
          <w:bCs/>
        </w:rPr>
        <w:t xml:space="preserve">Tabla 1. </w:t>
      </w:r>
      <w:r w:rsidRPr="00BF68DD">
        <w:rPr>
          <w:rFonts w:ascii="Arial" w:hAnsi="Arial" w:cs="Arial"/>
          <w:bCs/>
        </w:rPr>
        <w:t>Evidencia del uso de suplementos y/o complementos nutricionales en ERC discriminado en pacientes sin y con falla renal</w:t>
      </w:r>
    </w:p>
    <w:p w:rsidR="001E5512" w:rsidRPr="00BF68DD" w:rsidRDefault="001E5512" w:rsidP="00BF68DD">
      <w:pPr>
        <w:spacing w:line="480" w:lineRule="auto"/>
        <w:rPr>
          <w:rFonts w:ascii="Arial" w:hAnsi="Arial" w:cs="Arial"/>
          <w:bCs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09"/>
        <w:gridCol w:w="1479"/>
        <w:gridCol w:w="1214"/>
        <w:gridCol w:w="2110"/>
        <w:gridCol w:w="216"/>
        <w:gridCol w:w="1800"/>
      </w:tblGrid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r w:rsidRPr="00BF68DD">
              <w:rPr>
                <w:rFonts w:ascii="Arial" w:hAnsi="Arial" w:cs="Arial"/>
                <w:b/>
                <w:bCs/>
                <w:sz w:val="20"/>
              </w:rPr>
              <w:t>Estudio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r w:rsidRPr="00BF68DD">
              <w:rPr>
                <w:rFonts w:ascii="Arial" w:hAnsi="Arial" w:cs="Arial"/>
                <w:b/>
                <w:bCs/>
                <w:sz w:val="20"/>
              </w:rPr>
              <w:t>Año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 w:rsidRPr="00BF68DD">
              <w:rPr>
                <w:rFonts w:ascii="Arial" w:hAnsi="Arial" w:cs="Arial"/>
                <w:b/>
                <w:bCs/>
                <w:sz w:val="20"/>
              </w:rPr>
              <w:t>Tipo de estudio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 w:rsidRPr="00BF68DD">
              <w:rPr>
                <w:rFonts w:ascii="Arial" w:hAnsi="Arial" w:cs="Arial"/>
                <w:b/>
                <w:bCs/>
                <w:sz w:val="20"/>
              </w:rPr>
              <w:t>Población</w:t>
            </w:r>
          </w:p>
        </w:tc>
        <w:tc>
          <w:tcPr>
            <w:tcW w:w="232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r w:rsidRPr="00BF68DD">
              <w:rPr>
                <w:rFonts w:ascii="Arial" w:hAnsi="Arial" w:cs="Arial"/>
                <w:b/>
                <w:bCs/>
                <w:sz w:val="20"/>
              </w:rPr>
              <w:t>Suplemento</w:t>
            </w:r>
          </w:p>
        </w:tc>
        <w:tc>
          <w:tcPr>
            <w:tcW w:w="180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 w:rsidRPr="00BF68DD">
              <w:rPr>
                <w:rFonts w:ascii="Arial" w:hAnsi="Arial" w:cs="Arial"/>
                <w:b/>
                <w:bCs/>
                <w:sz w:val="20"/>
              </w:rPr>
              <w:t>Resultado</w:t>
            </w:r>
          </w:p>
        </w:tc>
      </w:tr>
      <w:tr w:rsidR="001E5512" w:rsidRPr="00BF68DD" w:rsidTr="000B4948">
        <w:trPr>
          <w:trHeight w:val="392"/>
        </w:trPr>
        <w:tc>
          <w:tcPr>
            <w:tcW w:w="9054" w:type="dxa"/>
            <w:gridSpan w:val="7"/>
            <w:shd w:val="clear" w:color="auto" w:fill="808080" w:themeFill="background1" w:themeFillShade="80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 w:rsidRPr="00BF68DD">
              <w:rPr>
                <w:rFonts w:ascii="Arial" w:hAnsi="Arial" w:cs="Arial"/>
                <w:b/>
                <w:bCs/>
                <w:sz w:val="20"/>
              </w:rPr>
              <w:t>Pacientes sin falla renal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</w:rPr>
              <w:t>Teplan</w:t>
            </w:r>
            <w:proofErr w:type="spellEnd"/>
            <w:r w:rsidR="009D4D34">
              <w:rPr>
                <w:rFonts w:ascii="Arial" w:hAnsi="Arial" w:cs="Arial"/>
                <w:vertAlign w:val="superscript"/>
                <w:lang w:val="es-ES"/>
              </w:rPr>
              <w:t>16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2001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105 </w:t>
            </w:r>
          </w:p>
        </w:tc>
        <w:tc>
          <w:tcPr>
            <w:tcW w:w="232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Dieta baja en proteínas con 0,6 g día y 35 kcal/kg/día con eritropoyetina humana 40UI/semana y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cetoácidos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100mg/kg/día vs  dieta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hipoprotéica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y eritropoyetina o dieta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hipoprotéica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sola. </w:t>
            </w:r>
          </w:p>
        </w:tc>
        <w:tc>
          <w:tcPr>
            <w:tcW w:w="180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Mejores desenlaces con dieta </w:t>
            </w:r>
            <w:r w:rsidRPr="00BF68DD">
              <w:rPr>
                <w:rFonts w:ascii="Arial" w:hAnsi="Arial" w:cs="Arial"/>
                <w:sz w:val="20"/>
                <w:lang w:val="es-ES_tradnl"/>
              </w:rPr>
              <w:t xml:space="preserve">0.6g/kg/día de proteínas y 35 kcal/kg/día calorías. Disminución de TFG y aumento de albúmina sérica. (p&lt;0,01) 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</w:rPr>
              <w:t>Ranganthan</w:t>
            </w:r>
            <w:proofErr w:type="spellEnd"/>
            <w:r w:rsidR="009D4D34">
              <w:rPr>
                <w:rFonts w:ascii="Arial" w:hAnsi="Arial" w:cs="Arial"/>
                <w:vertAlign w:val="superscript"/>
                <w:lang w:val="es-ES"/>
              </w:rPr>
              <w:t>17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2009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16 </w:t>
            </w:r>
          </w:p>
        </w:tc>
        <w:tc>
          <w:tcPr>
            <w:tcW w:w="232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proofErr w:type="spellStart"/>
            <w:r w:rsidRPr="00BF68DD">
              <w:rPr>
                <w:rFonts w:ascii="Arial" w:hAnsi="Arial" w:cs="Arial"/>
                <w:i/>
                <w:sz w:val="20"/>
              </w:rPr>
              <w:t>Lactobacillus</w:t>
            </w:r>
            <w:proofErr w:type="spellEnd"/>
            <w:r w:rsidRPr="00BF68DD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BF68DD">
              <w:rPr>
                <w:rFonts w:ascii="Arial" w:hAnsi="Arial" w:cs="Arial"/>
                <w:i/>
                <w:sz w:val="20"/>
              </w:rPr>
              <w:t>acidophilus</w:t>
            </w:r>
            <w:proofErr w:type="spellEnd"/>
            <w:r w:rsidRPr="00BF68DD">
              <w:rPr>
                <w:rFonts w:ascii="Arial" w:hAnsi="Arial" w:cs="Arial"/>
                <w:i/>
                <w:sz w:val="20"/>
              </w:rPr>
              <w:t xml:space="preserve"> </w:t>
            </w:r>
            <w:r w:rsidRPr="00BF68DD">
              <w:rPr>
                <w:rFonts w:ascii="Arial" w:hAnsi="Arial" w:cs="Arial"/>
                <w:sz w:val="20"/>
              </w:rPr>
              <w:t xml:space="preserve">KB31, </w:t>
            </w:r>
            <w:proofErr w:type="spellStart"/>
            <w:r w:rsidRPr="00BF68DD">
              <w:rPr>
                <w:rFonts w:ascii="Arial" w:hAnsi="Arial" w:cs="Arial"/>
                <w:i/>
                <w:sz w:val="20"/>
              </w:rPr>
              <w:t>Bifidobacterium</w:t>
            </w:r>
            <w:proofErr w:type="spellEnd"/>
            <w:r w:rsidRPr="00BF68DD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BF68DD">
              <w:rPr>
                <w:rFonts w:ascii="Arial" w:hAnsi="Arial" w:cs="Arial"/>
                <w:i/>
                <w:sz w:val="20"/>
              </w:rPr>
              <w:t>longum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KB35, y </w:t>
            </w:r>
            <w:r w:rsidRPr="00BF68DD">
              <w:rPr>
                <w:rFonts w:ascii="Arial" w:hAnsi="Arial" w:cs="Arial"/>
                <w:i/>
                <w:sz w:val="20"/>
              </w:rPr>
              <w:t xml:space="preserve">Streptococcus </w:t>
            </w:r>
            <w:proofErr w:type="spellStart"/>
            <w:r w:rsidRPr="00BF68DD">
              <w:rPr>
                <w:rFonts w:ascii="Arial" w:hAnsi="Arial" w:cs="Arial"/>
                <w:i/>
                <w:sz w:val="20"/>
              </w:rPr>
              <w:t>thermophilus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KB27 (1,5 x 10^10 UFC)</w:t>
            </w:r>
          </w:p>
        </w:tc>
        <w:tc>
          <w:tcPr>
            <w:tcW w:w="180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Reducción de los niveles de nitrógeno uréico en los pacientes tratados (p=0,002)</w:t>
            </w:r>
          </w:p>
        </w:tc>
      </w:tr>
      <w:tr w:rsidR="001E5512" w:rsidRPr="00BF68DD" w:rsidTr="000B4948">
        <w:trPr>
          <w:trHeight w:val="392"/>
        </w:trPr>
        <w:tc>
          <w:tcPr>
            <w:tcW w:w="9054" w:type="dxa"/>
            <w:gridSpan w:val="7"/>
            <w:shd w:val="clear" w:color="auto" w:fill="808080" w:themeFill="background1" w:themeFillShade="80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 w:rsidRPr="00BF68DD">
              <w:rPr>
                <w:rFonts w:ascii="Arial" w:hAnsi="Arial" w:cs="Arial"/>
                <w:b/>
                <w:bCs/>
                <w:sz w:val="20"/>
              </w:rPr>
              <w:t>Pacientes en falla renal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>Qin</w:t>
            </w:r>
            <w:proofErr w:type="spellEnd"/>
            <w:r w:rsidR="009D4D34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34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proofErr w:type="spellStart"/>
            <w:r w:rsidRPr="00BF68DD">
              <w:rPr>
                <w:rFonts w:ascii="Arial" w:hAnsi="Arial" w:cs="Arial"/>
                <w:sz w:val="20"/>
              </w:rPr>
              <w:t>Metanálisis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de 9 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98234 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Ácido fólico (dosis no especificada)</w:t>
            </w:r>
          </w:p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Reducción riesgo cardiovascular 10%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bookmarkStart w:id="0" w:name="_GoBack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>Mann</w:t>
            </w:r>
            <w:r w:rsidR="009D4D34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19</w:t>
            </w:r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  <w:lang w:val="es-ES_tradnl"/>
              </w:rPr>
            </w:pPr>
            <w:r w:rsidRPr="00BF68DD">
              <w:rPr>
                <w:rFonts w:ascii="Arial" w:hAnsi="Arial" w:cs="Arial"/>
                <w:sz w:val="20"/>
              </w:rPr>
              <w:t>2014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  <w:lang w:val="es-ES"/>
              </w:rPr>
              <w:t>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  <w:lang w:val="es-ES_tradnl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Vitamina D 50.000 </w:t>
            </w:r>
            <w:r w:rsidRPr="00BF68DD">
              <w:rPr>
                <w:rFonts w:ascii="Arial" w:hAnsi="Arial" w:cs="Arial"/>
                <w:sz w:val="20"/>
              </w:rPr>
              <w:lastRenderedPageBreak/>
              <w:t>UI/día vs placebo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  <w:lang w:val="es-ES_tradnl"/>
              </w:rPr>
            </w:pPr>
            <w:r w:rsidRPr="00BF68DD">
              <w:rPr>
                <w:rFonts w:ascii="Arial" w:hAnsi="Arial" w:cs="Arial"/>
                <w:sz w:val="20"/>
              </w:rPr>
              <w:lastRenderedPageBreak/>
              <w:t xml:space="preserve">Se encuentra en </w:t>
            </w:r>
            <w:r w:rsidRPr="00BF68DD">
              <w:rPr>
                <w:rFonts w:ascii="Arial" w:hAnsi="Arial" w:cs="Arial"/>
                <w:sz w:val="20"/>
              </w:rPr>
              <w:lastRenderedPageBreak/>
              <w:t>fase de reclutamiento, busca determinar si suplementos de vitamina D mejora el tono autonómico cardiaco.</w:t>
            </w:r>
          </w:p>
        </w:tc>
      </w:tr>
      <w:bookmarkEnd w:id="0"/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lastRenderedPageBreak/>
              <w:t>Daud</w:t>
            </w:r>
            <w:proofErr w:type="spellEnd"/>
            <w:r w:rsidR="009D4D34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20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  <w:lang w:val="es-ES_tradnl"/>
              </w:rPr>
            </w:pPr>
            <w:r w:rsidRPr="00BF68DD"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  <w:lang w:val="es-ES"/>
              </w:rPr>
              <w:t>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81 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  <w:lang w:val="es-ES_tradnl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Fracción de vitamina E rica en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tocotrienol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(TRF) (180mg de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tocotrienoles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>, 40mg de tocoferol) vs placebo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  <w:lang w:val="es-ES_tradnl"/>
              </w:rPr>
              <w:t xml:space="preserve">El suplemento de TRF no tiene un impacto nutricional, inflamatorio ni en biomarcadores del estado </w:t>
            </w:r>
            <w:proofErr w:type="spellStart"/>
            <w:r w:rsidRPr="00BF68DD">
              <w:rPr>
                <w:rFonts w:ascii="Arial" w:hAnsi="Arial" w:cs="Arial"/>
                <w:sz w:val="20"/>
                <w:lang w:val="es-ES_tradnl"/>
              </w:rPr>
              <w:t>oxidativo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. </w:t>
            </w:r>
          </w:p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  <w:lang w:val="es-ES_tradnl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El grupo suplementado con TRF mostró mejoría en el perfil lipídico después de 12 y 16 semanas. 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>Khajehdehi</w:t>
            </w:r>
            <w:proofErr w:type="spellEnd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21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2001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  <w:lang w:val="es-ES"/>
              </w:rPr>
              <w:t>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Vitamina E (400 mg), Vitamina C (250 mg), su combinación y placebo.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La frecuencia e intensidad de los calambres disminuyeron en los tres grupos de vitamina.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>Roozbeh</w:t>
            </w:r>
            <w:proofErr w:type="spellEnd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22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2009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  <w:lang w:val="es-ES"/>
              </w:rPr>
              <w:t>ECA.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53 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Sulfato de zinc 220mg (50mg de zinc elemental) vs </w:t>
            </w:r>
            <w:r w:rsidRPr="00BF68DD">
              <w:rPr>
                <w:rFonts w:ascii="Arial" w:hAnsi="Arial" w:cs="Arial"/>
                <w:sz w:val="20"/>
              </w:rPr>
              <w:lastRenderedPageBreak/>
              <w:t>placebo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lastRenderedPageBreak/>
              <w:t xml:space="preserve">Elevación en niveles de zinc, colesterol total, LDL </w:t>
            </w:r>
            <w:r w:rsidRPr="00BF68DD">
              <w:rPr>
                <w:rFonts w:ascii="Arial" w:hAnsi="Arial" w:cs="Arial"/>
                <w:sz w:val="20"/>
              </w:rPr>
              <w:lastRenderedPageBreak/>
              <w:t>y HDL en el grupo que recibió zinc (p&lt;0,05).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lastRenderedPageBreak/>
              <w:t>Pakfetrat</w:t>
            </w:r>
            <w:proofErr w:type="spellEnd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23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  <w:lang w:val="es-ES"/>
              </w:rPr>
              <w:t>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97 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Zinc elemental 50mg/día vs placebo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Los niveles séricos de Zn aumentaron en el grupo suplementado (p&lt;0,0001)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>Rashidi</w:t>
            </w:r>
            <w:proofErr w:type="spellEnd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25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2009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  <w:lang w:val="es-ES"/>
              </w:rPr>
              <w:t>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Sulfato de zinc 220mg/día vs placebo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No hay cambios estadísticamente significativos en los niveles de PCR.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>Khosroshahi</w:t>
            </w:r>
            <w:proofErr w:type="spellEnd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9D4D34">
              <w:rPr>
                <w:rFonts w:ascii="Arial" w:hAnsi="Arial" w:cs="Arial"/>
                <w:sz w:val="20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27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  <w:lang w:val="es-ES"/>
              </w:rPr>
              <w:t>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88 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Cápsulas de omega-3 (3 g/d) vs placebo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Reducción en nivel de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homocisteína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sérica en comparación con placebo (P = 0,03)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>Beavers</w:t>
            </w:r>
            <w:proofErr w:type="spellEnd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28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2008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  <w:lang w:val="es-ES"/>
              </w:rPr>
              <w:t>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Omega-3 vs Aceite de maíz (placebo)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La administración diaria de 6g Omega-3 que contienen 160 mg de ácido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eicosapentanoico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(0,96g/día) y 100 mg de ácido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docosahexaenoico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(0,6g/día) no tuvo ningún efecto sobre </w:t>
            </w:r>
            <w:r w:rsidRPr="00BF68DD">
              <w:rPr>
                <w:rFonts w:ascii="Arial" w:hAnsi="Arial" w:cs="Arial"/>
                <w:sz w:val="20"/>
              </w:rPr>
              <w:lastRenderedPageBreak/>
              <w:t xml:space="preserve">los niveles de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Homocisteína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en comparación con el grupo control (placebo).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lastRenderedPageBreak/>
              <w:t>Tayyebi-Khosroshahi</w:t>
            </w:r>
            <w:proofErr w:type="spellEnd"/>
            <w:r w:rsidR="009D4D34">
              <w:rPr>
                <w:rFonts w:ascii="Arial" w:hAnsi="Arial" w:cs="Arial"/>
                <w:vertAlign w:val="superscript"/>
                <w:lang w:val="es-ES"/>
              </w:rPr>
              <w:t>29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2012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  <w:lang w:val="es-ES"/>
              </w:rPr>
              <w:t>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Omega-3 3g/día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El uso de omega-2 redujo los niveles de factor de necrosis tumoral alfa significativamente (p&lt;0,05).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>Polulia</w:t>
            </w:r>
            <w:proofErr w:type="spellEnd"/>
            <w:r w:rsidR="009D4D34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39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2011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Omega-3 + α-tocoferol (920mg de ácido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eicosapentaenoico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(EPA) + 760mg de ácido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docosahexaenoico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(DHA) + 8mg α-tocoferol por día) vs suplemento de α-tocoferol solo (100mg/semana=14,2mg/día) durante 4 semanas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No demostró diferencia estadísticamente significativa en los perfiles lipídicos de los participantes entre la línea de base y las 2 intervenciones.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</w:rPr>
              <w:t>Gharekhani</w:t>
            </w:r>
            <w:proofErr w:type="spellEnd"/>
            <w:r w:rsidR="009D4D3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lastRenderedPageBreak/>
              <w:t>30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lastRenderedPageBreak/>
              <w:t>2014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Omega-3 (EPA 180mg, DHA 120mg) </w:t>
            </w:r>
            <w:r w:rsidRPr="00BF68DD">
              <w:rPr>
                <w:rFonts w:ascii="Arial" w:hAnsi="Arial" w:cs="Arial"/>
                <w:sz w:val="20"/>
              </w:rPr>
              <w:lastRenderedPageBreak/>
              <w:t>vs placebo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lastRenderedPageBreak/>
              <w:t xml:space="preserve">Disminución en sintomatología </w:t>
            </w:r>
            <w:r w:rsidRPr="00BF68DD">
              <w:rPr>
                <w:rFonts w:ascii="Arial" w:hAnsi="Arial" w:cs="Arial"/>
                <w:sz w:val="20"/>
              </w:rPr>
              <w:lastRenderedPageBreak/>
              <w:t>depresiva.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lastRenderedPageBreak/>
              <w:t>Sundell</w:t>
            </w:r>
            <w:proofErr w:type="spellEnd"/>
            <w:r w:rsidR="009D4D34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33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2009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ECA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Pro-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Stat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(lisina 2,7g, leucina 1,86g,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fenilalaina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1,32g,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valina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1,56g, histidina 0,44g, isoleucina 1,02g,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metionina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0,48,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treonina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1,32g, triptófano 0,2g, alanina 5,58g,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arginina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5,13g, aspartato 3,96g, cistina 0,04g, glutamato 6,6g, glicina 16,4g,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prolina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8,8g,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serina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1,92g y tirosina 012g)  dosis doble, dosis única o placebo. 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Suplementos con aminoácidos muestra mejor anabolismo muscular, especialmente en el grupo tratado con dosis doble (p&lt;0,05).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t>Meade</w:t>
            </w:r>
            <w:proofErr w:type="spellEnd"/>
            <w:r w:rsidR="009D4D34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40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2007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Estudio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pseudoexperimental</w:t>
            </w:r>
            <w:proofErr w:type="spellEnd"/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Barras nutricionales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hiperprotéicas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vs fórmulas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t>nutriconales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líquidas de múltiples casas farmacéuticas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No hay diferencia en la forma de consumir proteínas, se prefieren las barras proteicas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proofErr w:type="spellStart"/>
            <w:r w:rsidRPr="00BF68DD">
              <w:rPr>
                <w:rFonts w:ascii="Arial" w:hAnsi="Arial" w:cs="Arial"/>
                <w:b/>
                <w:bCs/>
                <w:sz w:val="20"/>
              </w:rPr>
              <w:t>Dierkes</w:t>
            </w:r>
            <w:proofErr w:type="spellEnd"/>
            <w:r w:rsidR="009D4D3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36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2001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Estudio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lastRenderedPageBreak/>
              <w:t>pseudoexperimental</w:t>
            </w:r>
            <w:proofErr w:type="spellEnd"/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lastRenderedPageBreak/>
              <w:t>54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 xml:space="preserve">Ácido fólico </w:t>
            </w:r>
            <w:r w:rsidRPr="00BF68DD">
              <w:rPr>
                <w:rFonts w:ascii="Arial" w:hAnsi="Arial" w:cs="Arial"/>
                <w:sz w:val="20"/>
              </w:rPr>
              <w:lastRenderedPageBreak/>
              <w:t xml:space="preserve">800ug/día, vitamina B12 6ug/día, vitamina B6 10mg/día o ácido fólico 160ug/día, vitamina B6 10mg o placebo. 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lastRenderedPageBreak/>
              <w:t xml:space="preserve">Disminución en </w:t>
            </w:r>
            <w:proofErr w:type="spellStart"/>
            <w:r w:rsidRPr="00BF68DD">
              <w:rPr>
                <w:rFonts w:ascii="Arial" w:hAnsi="Arial" w:cs="Arial"/>
                <w:sz w:val="20"/>
              </w:rPr>
              <w:lastRenderedPageBreak/>
              <w:t>homocisteína</w:t>
            </w:r>
            <w:proofErr w:type="spellEnd"/>
            <w:r w:rsidRPr="00BF68DD">
              <w:rPr>
                <w:rFonts w:ascii="Arial" w:hAnsi="Arial" w:cs="Arial"/>
                <w:sz w:val="20"/>
              </w:rPr>
              <w:t xml:space="preserve"> alrededor del 50%</w:t>
            </w:r>
          </w:p>
        </w:tc>
      </w:tr>
      <w:tr w:rsidR="001E5512" w:rsidRPr="00BF68DD" w:rsidTr="009D4D34">
        <w:trPr>
          <w:trHeight w:val="392"/>
        </w:trPr>
        <w:tc>
          <w:tcPr>
            <w:tcW w:w="1526" w:type="dxa"/>
          </w:tcPr>
          <w:p w:rsidR="001E5512" w:rsidRPr="00BF68DD" w:rsidRDefault="001E5512" w:rsidP="009D4D34">
            <w:pPr>
              <w:spacing w:line="48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r w:rsidRPr="00BF68DD">
              <w:rPr>
                <w:rFonts w:ascii="Arial" w:hAnsi="Arial" w:cs="Arial"/>
                <w:b/>
                <w:bCs/>
                <w:sz w:val="20"/>
                <w:lang w:val="es-ES_tradnl"/>
              </w:rPr>
              <w:lastRenderedPageBreak/>
              <w:t>Blair</w:t>
            </w:r>
            <w:r w:rsidR="009D4D34">
              <w:rPr>
                <w:rFonts w:ascii="Arial" w:hAnsi="Arial" w:cs="Arial"/>
                <w:b/>
                <w:bCs/>
                <w:sz w:val="20"/>
                <w:lang w:val="es-ES_tradnl"/>
              </w:rPr>
              <w:t xml:space="preserve"> </w:t>
            </w:r>
            <w:r w:rsidR="009D4D34">
              <w:rPr>
                <w:rFonts w:ascii="Arial" w:hAnsi="Arial" w:cs="Arial"/>
                <w:vertAlign w:val="superscript"/>
                <w:lang w:val="es-ES"/>
              </w:rPr>
              <w:t>14</w:t>
            </w:r>
          </w:p>
        </w:tc>
        <w:tc>
          <w:tcPr>
            <w:tcW w:w="70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  <w:lang w:val="es-ES_tradnl"/>
              </w:rPr>
            </w:pPr>
            <w:r w:rsidRPr="00BF68DD">
              <w:rPr>
                <w:rFonts w:ascii="Arial" w:hAnsi="Arial" w:cs="Arial"/>
                <w:sz w:val="20"/>
              </w:rPr>
              <w:t>2008</w:t>
            </w:r>
          </w:p>
        </w:tc>
        <w:tc>
          <w:tcPr>
            <w:tcW w:w="1479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Cohorte retrospectiva</w:t>
            </w:r>
          </w:p>
        </w:tc>
        <w:tc>
          <w:tcPr>
            <w:tcW w:w="1214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BF68DD">
              <w:rPr>
                <w:rFonts w:ascii="Arial" w:hAnsi="Arial" w:cs="Arial"/>
                <w:sz w:val="20"/>
              </w:rPr>
              <w:t>344</w:t>
            </w:r>
          </w:p>
        </w:tc>
        <w:tc>
          <w:tcPr>
            <w:tcW w:w="2110" w:type="dxa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  <w:lang w:val="es-ES_tradnl"/>
              </w:rPr>
            </w:pPr>
            <w:r w:rsidRPr="00BF68DD">
              <w:rPr>
                <w:rFonts w:ascii="Arial" w:hAnsi="Arial" w:cs="Arial"/>
                <w:sz w:val="20"/>
              </w:rPr>
              <w:t>Vitamina D (dosis no especificada)</w:t>
            </w:r>
          </w:p>
        </w:tc>
        <w:tc>
          <w:tcPr>
            <w:tcW w:w="2016" w:type="dxa"/>
            <w:gridSpan w:val="2"/>
          </w:tcPr>
          <w:p w:rsidR="001E5512" w:rsidRPr="00BF68DD" w:rsidRDefault="001E5512" w:rsidP="00BF68DD">
            <w:pPr>
              <w:spacing w:line="480" w:lineRule="auto"/>
              <w:rPr>
                <w:rFonts w:ascii="Arial" w:hAnsi="Arial" w:cs="Arial"/>
                <w:sz w:val="20"/>
                <w:lang w:val="es-ES_tradnl"/>
              </w:rPr>
            </w:pPr>
            <w:r w:rsidRPr="00BF68DD">
              <w:rPr>
                <w:rFonts w:ascii="Arial" w:hAnsi="Arial" w:cs="Arial"/>
                <w:sz w:val="20"/>
              </w:rPr>
              <w:t>Disminución en los niveles de HbA1C de 6.9% +/- 1.9% inicial a 6,4% +/- 1,5% a los 6 meses</w:t>
            </w:r>
          </w:p>
        </w:tc>
      </w:tr>
    </w:tbl>
    <w:p w:rsidR="001E5512" w:rsidRPr="00BF68DD" w:rsidRDefault="001E5512" w:rsidP="00BF68DD">
      <w:pPr>
        <w:spacing w:line="480" w:lineRule="auto"/>
        <w:rPr>
          <w:rFonts w:ascii="Arial" w:hAnsi="Arial" w:cs="Arial"/>
          <w:lang w:val="es-ES_tradnl"/>
        </w:rPr>
      </w:pPr>
    </w:p>
    <w:p w:rsidR="001E5512" w:rsidRPr="00BF68DD" w:rsidRDefault="001E5512" w:rsidP="00BF68DD">
      <w:pPr>
        <w:spacing w:line="480" w:lineRule="auto"/>
        <w:rPr>
          <w:rFonts w:ascii="Arial" w:hAnsi="Arial" w:cs="Arial"/>
        </w:rPr>
      </w:pPr>
    </w:p>
    <w:p w:rsidR="001E5512" w:rsidRPr="00BF68DD" w:rsidRDefault="001E5512" w:rsidP="00BF68DD">
      <w:pPr>
        <w:pStyle w:val="NormalWeb"/>
        <w:spacing w:line="480" w:lineRule="auto"/>
        <w:ind w:left="640" w:hanging="640"/>
        <w:rPr>
          <w:rFonts w:ascii="Arial" w:hAnsi="Arial" w:cs="Arial"/>
          <w:sz w:val="24"/>
          <w:szCs w:val="24"/>
          <w:lang w:val="es-ES_tradnl"/>
        </w:rPr>
      </w:pPr>
    </w:p>
    <w:p w:rsidR="0083756C" w:rsidRPr="00BF68DD" w:rsidRDefault="0083756C" w:rsidP="00BF68DD">
      <w:pPr>
        <w:spacing w:line="480" w:lineRule="auto"/>
        <w:rPr>
          <w:rFonts w:ascii="Arial" w:hAnsi="Arial" w:cs="Arial"/>
        </w:rPr>
      </w:pPr>
    </w:p>
    <w:sectPr w:rsidR="0083756C" w:rsidRPr="00BF68DD" w:rsidSect="005615C7">
      <w:footerReference w:type="default" r:id="rId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724" w:rsidRDefault="00EE1724" w:rsidP="001808A6">
      <w:r>
        <w:separator/>
      </w:r>
    </w:p>
  </w:endnote>
  <w:endnote w:type="continuationSeparator" w:id="0">
    <w:p w:rsidR="00EE1724" w:rsidRDefault="00EE1724" w:rsidP="00180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434045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:rsidR="00C30336" w:rsidRPr="00C30336" w:rsidRDefault="004807CB">
        <w:pPr>
          <w:pStyle w:val="Piedepgina"/>
          <w:jc w:val="center"/>
          <w:rPr>
            <w:rFonts w:ascii="Arial" w:hAnsi="Arial" w:cs="Arial"/>
            <w:sz w:val="22"/>
          </w:rPr>
        </w:pPr>
        <w:r w:rsidRPr="00C30336">
          <w:rPr>
            <w:rFonts w:ascii="Arial" w:hAnsi="Arial" w:cs="Arial"/>
            <w:sz w:val="22"/>
          </w:rPr>
          <w:fldChar w:fldCharType="begin"/>
        </w:r>
        <w:r w:rsidR="000B4948" w:rsidRPr="00C30336">
          <w:rPr>
            <w:rFonts w:ascii="Arial" w:hAnsi="Arial" w:cs="Arial"/>
            <w:sz w:val="22"/>
          </w:rPr>
          <w:instrText>PAGE   \* MERGEFORMAT</w:instrText>
        </w:r>
        <w:r w:rsidRPr="00C30336">
          <w:rPr>
            <w:rFonts w:ascii="Arial" w:hAnsi="Arial" w:cs="Arial"/>
            <w:sz w:val="22"/>
          </w:rPr>
          <w:fldChar w:fldCharType="separate"/>
        </w:r>
        <w:r w:rsidR="009D4D34" w:rsidRPr="009D4D34">
          <w:rPr>
            <w:rFonts w:ascii="Arial" w:hAnsi="Arial" w:cs="Arial"/>
            <w:noProof/>
            <w:sz w:val="22"/>
            <w:lang w:val="es-ES"/>
          </w:rPr>
          <w:t>6</w:t>
        </w:r>
        <w:r w:rsidRPr="00C30336">
          <w:rPr>
            <w:rFonts w:ascii="Arial" w:hAnsi="Arial" w:cs="Arial"/>
            <w:sz w:val="22"/>
          </w:rPr>
          <w:fldChar w:fldCharType="end"/>
        </w:r>
      </w:p>
    </w:sdtContent>
  </w:sdt>
  <w:p w:rsidR="00C30336" w:rsidRDefault="00EE172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724" w:rsidRDefault="00EE1724" w:rsidP="001808A6">
      <w:r>
        <w:separator/>
      </w:r>
    </w:p>
  </w:footnote>
  <w:footnote w:type="continuationSeparator" w:id="0">
    <w:p w:rsidR="00EE1724" w:rsidRDefault="00EE1724" w:rsidP="00180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4ED"/>
    <w:rsid w:val="000B4948"/>
    <w:rsid w:val="001808A6"/>
    <w:rsid w:val="001E5512"/>
    <w:rsid w:val="00236DA0"/>
    <w:rsid w:val="004807CB"/>
    <w:rsid w:val="005A6905"/>
    <w:rsid w:val="0083756C"/>
    <w:rsid w:val="009914ED"/>
    <w:rsid w:val="009D4D34"/>
    <w:rsid w:val="00BF68DD"/>
    <w:rsid w:val="00EE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512"/>
    <w:pPr>
      <w:spacing w:after="0" w:line="240" w:lineRule="auto"/>
    </w:pPr>
    <w:rPr>
      <w:rFonts w:eastAsiaTheme="minorEastAsia"/>
      <w:sz w:val="24"/>
      <w:szCs w:val="24"/>
      <w:lang w:val="es-AR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551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E55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512"/>
    <w:rPr>
      <w:rFonts w:eastAsiaTheme="minorEastAsia"/>
      <w:sz w:val="24"/>
      <w:szCs w:val="24"/>
      <w:lang w:val="es-AR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512"/>
    <w:pPr>
      <w:spacing w:after="0" w:line="240" w:lineRule="auto"/>
    </w:pPr>
    <w:rPr>
      <w:rFonts w:eastAsiaTheme="minorEastAsia"/>
      <w:sz w:val="24"/>
      <w:szCs w:val="24"/>
      <w:lang w:val="es-AR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551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E55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512"/>
    <w:rPr>
      <w:rFonts w:eastAsiaTheme="minorEastAsia"/>
      <w:sz w:val="24"/>
      <w:szCs w:val="24"/>
      <w:lang w:val="es-AR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 Andres Rosselli Cock</dc:creator>
  <cp:lastModifiedBy>Usuario</cp:lastModifiedBy>
  <cp:revision>3</cp:revision>
  <dcterms:created xsi:type="dcterms:W3CDTF">2016-06-07T12:12:00Z</dcterms:created>
  <dcterms:modified xsi:type="dcterms:W3CDTF">2016-06-07T13:02:00Z</dcterms:modified>
</cp:coreProperties>
</file>